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6"/>
          <w:szCs w:val="36"/>
        </w:rPr>
        <w:t xml:space="preserve">STATEMENT OF WORK</w:t>
      </w:r>
    </w:p>
    <w:p>
      <w:pPr>
        <w:spacing w:after="240"/>
        <w:jc w:val="center"/>
      </w:pPr>
      <w:r>
        <w:rPr>
          <w:color w:val="555555"/>
          <w:sz w:val="24"/>
          <w:szCs w:val="24"/>
        </w:rPr>
        <w:t xml:space="preserve">Website Front-End Development — IBS Software Corporate Website (ibsplc.com)</w:t>
      </w:r>
    </w:p>
    <w:p>
      <w:pPr>
        <w:spacing w:after="120"/>
      </w:pPr>
      <w:r>
        <w:t xml:space="preserve">This Statement of Work (“SOW”) is entered into between </w:t>
      </w:r>
      <w:r>
        <w:rPr>
          <w:b/>
          <w:bCs/>
        </w:rPr>
        <w:t xml:space="preserve">IBS Software Americas, Inc. (“IBS”)</w:t>
      </w:r>
      <w:r>
        <w:t xml:space="preserve"> and </w:t>
      </w:r>
      <w:r>
        <w:rPr>
          <w:b/>
          <w:bCs/>
        </w:rPr>
        <w:t xml:space="preserve">Fiction Tribe, Inc. (“Service Provider” or “Fiction Tribe”)</w:t>
      </w:r>
      <w:r>
        <w:t xml:space="preserve"> on May 19, 2026.</w:t>
      </w:r>
    </w:p>
    <w:p>
      <w:pPr>
        <w:spacing w:after="120"/>
      </w:pPr>
      <w:r>
        <w:t xml:space="preserve">All the terms of the Agreement are incorporated into this SOW by reference. In the event of any conflict between the terms of this SOW and the Agreement, the terms of the Agreement shall prevail, unless this SOW expressly amends any section of the Agreement.</w:t>
      </w:r>
    </w:p>
    <w:p>
      <w:pPr>
        <w:pStyle w:val="Heading1"/>
      </w:pPr>
      <w:r>
        <w:t xml:space="preserve">Term of this SOW</w:t>
      </w:r>
    </w:p>
    <w:p>
      <w:pPr>
        <w:spacing w:after="120"/>
      </w:pPr>
      <w:r>
        <w:t xml:space="preserve">The scope of services under this SOW shall commence on May 19, 2026, and continue through July 20, 2026 (“Initial Term”), unless terminated earlier in accordance with the Agreement. This SOW may be renewed for additional terms as mutually agreed in writing. The Initial Term and any Renewal Term are collectively referred to as the “Statement of Work Term.”</w:t>
      </w:r>
    </w:p>
    <w:p>
      <w:pPr>
        <w:spacing w:after="120"/>
      </w:pPr>
      <w:r>
        <w:t xml:space="preserve">The delivery dates in this SOW assume timely IBS review, feedback, and approval at each milestone, and timely provision of any IBS-supplied content and assets. Delay in any IBS dependency extends Fiction Tribe’s delivery dates by an equivalent period, without penalty to Fiction Tribe. See Section 8.</w:t>
      </w:r>
    </w:p>
    <w:p>
      <w:pPr>
        <w:pStyle w:val="Heading1"/>
      </w:pPr>
      <w:r>
        <w:t xml:space="preserve">1. Scope of Service</w:t>
      </w:r>
    </w:p>
    <w:p>
      <w:pPr>
        <w:spacing w:after="120"/>
      </w:pPr>
      <w:r>
        <w:t xml:space="preserve">Fiction Tribe and IBS Software are collaborating to redesign the current IBS corporate website (ibsplc.com), to revamp the company’s brand and better reflect its market position as a leading SaaS and AI-driven solutions provider for the global travel and logistics industry.</w:t>
      </w:r>
    </w:p>
    <w:p>
      <w:pPr>
        <w:spacing w:after="120"/>
      </w:pPr>
      <w:r>
        <w:rPr>
          <w:b/>
          <w:bCs/>
        </w:rPr>
        <w:t xml:space="preserve">Fiction Tribe’s engagement under this SOW is limited to </w:t>
      </w:r>
      <w:r>
        <w:t xml:space="preserve">the design and front-end development of standalone, framework-agnostic HTML, CSS, and JavaScript page templates, together with their associated exported assets and supporting documentation, delivered to IBS as a self-contained build package (the “Deliverables”).</w:t>
      </w:r>
    </w:p>
    <w:p>
      <w:pPr>
        <w:spacing w:after="120"/>
      </w:pPr>
      <w:r>
        <w:t xml:space="preserve">Fiction Tribe will develop the Deliverables following the coding conventions described in Section 3, which are intended to facilitate integration into the IBS technology stack. Integration, configuration, verification, testing, and deployment within that stack are the responsibility of the IBS Development Team, as described in Section 5.</w:t>
      </w:r>
    </w:p>
    <w:p>
      <w:pPr>
        <w:spacing w:after="120"/>
      </w:pPr>
      <w:r>
        <w:t xml:space="preserve">The IBS “Technical Design Handover Requirements” document (Version 2.0) will be used by Fiction Tribe as a </w:t>
      </w:r>
      <w:r>
        <w:rPr>
          <w:b/>
          <w:bCs/>
        </w:rPr>
        <w:t xml:space="preserve">reference for deliverable formats and conventions only</w:t>
      </w:r>
      <w:r>
        <w:t xml:space="preserve">, except where it is modified, limited, or excluded by this SOW. Where this SOW and the Handover Requirements document conflict, </w:t>
      </w:r>
      <w:r>
        <w:rPr>
          <w:b/>
          <w:bCs/>
        </w:rPr>
        <w:t xml:space="preserve">this SOW governs.</w:t>
      </w:r>
    </w:p>
    <w:p>
      <w:pPr>
        <w:pStyle w:val="Heading1"/>
      </w:pPr>
      <w:r>
        <w:t xml:space="preserve">2. Fiction Tribe Responsibilities (Deliverables)</w:t>
      </w:r>
    </w:p>
    <w:p>
      <w:pPr>
        <w:spacing w:after="120"/>
      </w:pPr>
      <w:r>
        <w:t xml:space="preserve">Fiction Tribe will provide:</w:t>
      </w:r>
    </w:p>
    <w:p>
      <w:pPr>
        <w:pStyle w:val="ListParagraph"/>
        <w:numPr>
          <w:ilvl w:val="0"/>
          <w:numId w:val="2"/>
        </w:numPr>
        <w:spacing w:after="60"/>
      </w:pPr>
      <w:r>
        <w:t xml:space="preserve">Coded, browser-tested HTML / CSS / JavaScript templates for each agreed unique page template (see Section 7), organized in a structured, self-contained build folder.</w:t>
      </w:r>
    </w:p>
    <w:p>
      <w:pPr>
        <w:pStyle w:val="ListParagraph"/>
        <w:numPr>
          <w:ilvl w:val="0"/>
          <w:numId w:val="2"/>
        </w:numPr>
        <w:spacing w:after="60"/>
      </w:pPr>
      <w:r>
        <w:t xml:space="preserve">Standalone HTML files using semantic HTML5, with external CSS and JavaScript (no inline styles or scripts), valid HTML5 markup, and appropriate &lt;head&gt; meta tags.</w:t>
      </w:r>
    </w:p>
    <w:p>
      <w:pPr>
        <w:pStyle w:val="ListParagraph"/>
        <w:numPr>
          <w:ilvl w:val="0"/>
          <w:numId w:val="2"/>
        </w:numPr>
        <w:spacing w:after="60"/>
      </w:pPr>
      <w:r>
        <w:t xml:space="preserve">CSS authored mobile-first using a documented methodology (BEM), with all custom classes prefixed (e.g., ibs- or ft-), and using Bootstrap 5 utility classes and standard breakpoints as a styling reference.</w:t>
      </w:r>
    </w:p>
    <w:p>
      <w:pPr>
        <w:pStyle w:val="ListParagraph"/>
        <w:numPr>
          <w:ilvl w:val="0"/>
          <w:numId w:val="2"/>
        </w:numPr>
        <w:spacing w:after="60"/>
      </w:pPr>
      <w:r>
        <w:t xml:space="preserve">Vanilla JavaScript wherever practical; any third-party libraries documented with version number, source URL, and license.</w:t>
      </w:r>
    </w:p>
    <w:p>
      <w:pPr>
        <w:pStyle w:val="ListParagraph"/>
        <w:numPr>
          <w:ilvl w:val="0"/>
          <w:numId w:val="2"/>
        </w:numPr>
        <w:spacing w:after="60"/>
      </w:pPr>
      <w:r>
        <w:t xml:space="preserve">Exported visual design references (PNG and PDF) at desktop, tablet, and mobile reference widths.</w:t>
      </w:r>
    </w:p>
    <w:p>
      <w:pPr>
        <w:pStyle w:val="ListParagraph"/>
        <w:numPr>
          <w:ilvl w:val="0"/>
          <w:numId w:val="2"/>
        </w:numPr>
        <w:spacing w:after="60"/>
      </w:pPr>
      <w:r>
        <w:t xml:space="preserve">Web-ready exported assets (images, icons, fonts) organized in folders, in the formats described in the Handover Requirements.</w:t>
      </w:r>
    </w:p>
    <w:p>
      <w:pPr>
        <w:pStyle w:val="ListParagraph"/>
        <w:numPr>
          <w:ilvl w:val="0"/>
          <w:numId w:val="2"/>
        </w:numPr>
        <w:spacing w:after="60"/>
      </w:pPr>
      <w:r>
        <w:t xml:space="preserve">Supporting documentation as external PDF / DOCX files: a style guide, responsive guidelines, sitemap, form UX specifications, SEO meta/content recommendations, and animation specifications.</w:t>
      </w:r>
    </w:p>
    <w:p>
      <w:pPr>
        <w:pStyle w:val="ListParagraph"/>
        <w:numPr>
          <w:ilvl w:val="0"/>
          <w:numId w:val="2"/>
        </w:numPr>
        <w:spacing w:after="60"/>
      </w:pPr>
      <w:r>
        <w:t xml:space="preserve">W3C HTML / CSS validation reports for the delivered files, and a browser-compatibility report covering the delivered templates tested as standalone files.</w:t>
      </w:r>
    </w:p>
    <w:p>
      <w:pPr>
        <w:pStyle w:val="ListParagraph"/>
        <w:numPr>
          <w:ilvl w:val="0"/>
          <w:numId w:val="2"/>
        </w:numPr>
        <w:spacing w:after="60"/>
      </w:pPr>
      <w:r>
        <w:t xml:space="preserve">A README documenting build notes, dependencies, and known issues.</w:t>
      </w:r>
    </w:p>
    <w:p>
      <w:pPr>
        <w:spacing w:after="120"/>
      </w:pPr>
      <w:r>
        <w:rPr>
          <w:i/>
          <w:iCs/>
        </w:rPr>
        <w:t xml:space="preserve">Fiction Tribe will develop the templates with the goal of supporting WCAG 2.1 Level AA for the templates as delivered, and will apply recognized front-end performance best practices. The limits of these commitments are defined in Section 6.</w:t>
      </w:r>
    </w:p>
    <w:p>
      <w:pPr>
        <w:pStyle w:val="Heading1"/>
      </w:pPr>
      <w:r>
        <w:t xml:space="preserve">3. Coding Conventions</w:t>
      </w:r>
    </w:p>
    <w:p>
      <w:pPr>
        <w:spacing w:after="120"/>
      </w:pPr>
      <w:r>
        <w:t xml:space="preserve">To facilitate integration, Fiction Tribe will follow these conventions in the Deliverables: semantic HTML5; external CSS and JavaScript; W3C-valid HTML5 markup; BEM (or another documented) CSS methodology; prefixed custom CSS classes; Bootstrap 5 standard breakpoints (xs, sm, md, lg, xl, xxl); a mobile-first responsive approach; no inline event handlers; and avoidance of !important except in documented edge cases.</w:t>
      </w:r>
    </w:p>
    <w:p>
      <w:pPr>
        <w:spacing w:after="120"/>
      </w:pPr>
      <w:r>
        <w:t xml:space="preserve">These conventions are intended to align with a Bootstrap-5-based environment. </w:t>
      </w:r>
      <w:r>
        <w:rPr>
          <w:b/>
          <w:bCs/>
        </w:rPr>
        <w:t xml:space="preserve">Fiction Tribe does not warrant behavior within any specific CMS, template framework, or bundled library version</w:t>
      </w:r>
      <w:r>
        <w:t xml:space="preserve"> — see Section 6.</w:t>
      </w:r>
    </w:p>
    <w:p>
      <w:pPr>
        <w:pStyle w:val="Heading1"/>
      </w:pPr>
      <w:r>
        <w:t xml:space="preserve">4. Project Kick-Off Confirmations</w:t>
      </w:r>
    </w:p>
    <w:p>
      <w:pPr>
        <w:spacing w:after="120"/>
      </w:pPr>
      <w:r>
        <w:t xml:space="preserve">At project kick-off, the parties will confirm in writing:</w:t>
      </w:r>
    </w:p>
    <w:p>
      <w:pPr>
        <w:pStyle w:val="ListParagraph"/>
        <w:numPr>
          <w:ilvl w:val="0"/>
          <w:numId w:val="2"/>
        </w:numPr>
        <w:spacing w:after="60"/>
      </w:pPr>
      <w:r>
        <w:t xml:space="preserve">The named single point of contact (SPOC) for each party.</w:t>
      </w:r>
    </w:p>
    <w:p>
      <w:pPr>
        <w:pStyle w:val="ListParagraph"/>
        <w:numPr>
          <w:ilvl w:val="0"/>
          <w:numId w:val="2"/>
        </w:numPr>
        <w:spacing w:after="60"/>
      </w:pPr>
      <w:r>
        <w:t xml:space="preserve">The final list of unique page templates and the total page count (see Section 7 and Appendix A).</w:t>
      </w:r>
    </w:p>
    <w:p>
      <w:pPr>
        <w:pStyle w:val="ListParagraph"/>
        <w:numPr>
          <w:ilvl w:val="0"/>
          <w:numId w:val="2"/>
        </w:numPr>
        <w:spacing w:after="60"/>
      </w:pPr>
      <w:r>
        <w:t xml:space="preserve">The milestone schedule, including review and feedback windows (see Section 8).</w:t>
      </w:r>
    </w:p>
    <w:p>
      <w:pPr>
        <w:pStyle w:val="Heading1"/>
      </w:pPr>
      <w:r>
        <w:t xml:space="preserve">5. IBS Software Responsibilities — Excluded from Fiction Tribe’s Scope</w:t>
      </w:r>
    </w:p>
    <w:p>
      <w:pPr>
        <w:spacing w:after="120"/>
      </w:pPr>
      <w:r>
        <w:rPr>
          <w:b/>
          <w:bCs/>
        </w:rPr>
        <w:t xml:space="preserve">The following are the responsibility of the IBS Development Team and are expressly out of scope for Fiction Tribe under this SOW:</w:t>
      </w:r>
    </w:p>
    <w:p>
      <w:pPr>
        <w:pStyle w:val="ListParagraph"/>
        <w:numPr>
          <w:ilvl w:val="0"/>
          <w:numId w:val="2"/>
        </w:numPr>
        <w:spacing w:after="60"/>
      </w:pPr>
      <w:r>
        <w:t xml:space="preserve">Integration of the templates into Joomla 5.4, the Helix Ultimate template framework, SP Page Builder, or any future Joomla version (e.g., Joomla 6.x).</w:t>
      </w:r>
    </w:p>
    <w:p>
      <w:pPr>
        <w:pStyle w:val="ListParagraph"/>
        <w:numPr>
          <w:ilvl w:val="0"/>
          <w:numId w:val="2"/>
        </w:numPr>
        <w:spacing w:after="60"/>
      </w:pPr>
      <w:r>
        <w:t xml:space="preserve">All CMS content mapping — mapping template sections to Joomla articles, modules, Helix module positions, SP Page Builder rows, or custom fields. Fiction Tribe will indicate, at a design level, which sections are intended to be static, editable, or reusable; the actual Joomla mapping is performed by IBS.</w:t>
      </w:r>
    </w:p>
    <w:p>
      <w:pPr>
        <w:pStyle w:val="ListParagraph"/>
        <w:numPr>
          <w:ilvl w:val="0"/>
          <w:numId w:val="2"/>
        </w:numPr>
        <w:spacing w:after="60"/>
      </w:pPr>
      <w:r>
        <w:t xml:space="preserve">Verification and testing of the templates within the Joomla / Helix environment, and any modifications required for that environment.</w:t>
      </w:r>
    </w:p>
    <w:p>
      <w:pPr>
        <w:pStyle w:val="ListParagraph"/>
        <w:numPr>
          <w:ilvl w:val="0"/>
          <w:numId w:val="2"/>
        </w:numPr>
        <w:spacing w:after="60"/>
      </w:pPr>
      <w:r>
        <w:t xml:space="preserve">Backend development, server configuration, hosting, deployment, and rollout.</w:t>
      </w:r>
    </w:p>
    <w:p>
      <w:pPr>
        <w:pStyle w:val="ListParagraph"/>
        <w:numPr>
          <w:ilvl w:val="0"/>
          <w:numId w:val="2"/>
        </w:numPr>
        <w:spacing w:after="60"/>
      </w:pPr>
      <w:r>
        <w:t xml:space="preserve">Configuration of Marketo embedded forms, including CRM integrations, API endpoints, email notification workflows, CAPTCHA, spam protection, and any forms-related data handling. Fiction Tribe will provide the visual design, front-end markup/placeholders, and UX-level documentation for forms only.</w:t>
      </w:r>
    </w:p>
    <w:p>
      <w:pPr>
        <w:pStyle w:val="ListParagraph"/>
        <w:numPr>
          <w:ilvl w:val="0"/>
          <w:numId w:val="2"/>
        </w:numPr>
        <w:spacing w:after="60"/>
      </w:pPr>
      <w:r>
        <w:t xml:space="preserve">Quality assurance testing of the final integrated and hosted website.</w:t>
      </w:r>
    </w:p>
    <w:p>
      <w:pPr>
        <w:pStyle w:val="ListParagraph"/>
        <w:numPr>
          <w:ilvl w:val="0"/>
          <w:numId w:val="2"/>
        </w:numPr>
        <w:spacing w:after="60"/>
      </w:pPr>
      <w:r>
        <w:t xml:space="preserve">Population of the website with production content, and procurement/licensing of third-party assets in IBS’s name.</w:t>
      </w:r>
    </w:p>
    <w:p>
      <w:pPr>
        <w:spacing w:after="120"/>
      </w:pPr>
      <w:r>
        <w:rPr>
          <w:b/>
          <w:bCs/>
          <w:color w:val="B00020"/>
        </w:rPr>
        <w:t xml:space="preserve">[TO CONFIRM: </w:t>
      </w:r>
      <w:r>
        <w:rPr>
          <w:b/>
          <w:bCs/>
          <w:color w:val="B00020"/>
        </w:rPr>
        <w:t xml:space="preserve">Final website copy and content </w:t>
      </w:r>
      <w:r>
        <w:rPr>
          <w:b/>
          <w:bCs/>
          <w:color w:val="B00020"/>
        </w:rPr>
        <w:t xml:space="preserve">— the parties must state whether final text/copy is provided by IBS or by Fiction Tribe. The current draft assumes IBS provides final copy. Adjust this clause before signature.]</w:t>
      </w:r>
    </w:p>
    <w:p>
      <w:pPr>
        <w:pStyle w:val="Heading1"/>
      </w:pPr>
      <w:r>
        <w:t xml:space="preserve">6. Warranties, Disclaimers &amp; Limits of Commitment</w:t>
      </w:r>
    </w:p>
    <w:p>
      <w:pPr>
        <w:spacing w:after="120"/>
      </w:pPr>
      <w:r>
        <w:rPr>
          <w:i/>
          <w:iCs/>
        </w:rPr>
        <w:t xml:space="preserve">This section defines the limits of Fiction Tribe’s commitments. It is intended to prevent reliance on deliverable outcomes that depend on IBS’s environment and integration work.</w:t>
      </w:r>
    </w:p>
    <w:p>
      <w:pPr>
        <w:pStyle w:val="Heading2"/>
      </w:pPr>
      <w:r>
        <w:t xml:space="preserve">6.1  Joomla / Helix / Bootstrap / jQuery Compatibility</w:t>
      </w:r>
    </w:p>
    <w:p>
      <w:pPr>
        <w:spacing w:after="120"/>
      </w:pPr>
      <w:r>
        <w:t xml:space="preserve">Fiction Tribe does not operate, and will not be provided access to, a Joomla 5.4 / Helix Ultimate environment. While Fiction Tribe will follow the coding conventions in Section 3 with the intent of supporting integration, Fiction Tribe does not warrant, and cannot verify, that the Deliverables will function without modification within Joomla, Helix Ultimate, SP Page Builder, or any specific bundled version of Bootstrap or jQuery. Verifying and testing the Deliverables within the IBS technology stack, and making any adjustments required for that stack, are the responsibility of the IBS Development Team.</w:t>
      </w:r>
    </w:p>
    <w:p>
      <w:pPr>
        <w:pStyle w:val="Heading2"/>
      </w:pPr>
      <w:r>
        <w:t xml:space="preserve">6.2  Performance and Core Web Vitals</w:t>
      </w:r>
    </w:p>
    <w:p>
      <w:pPr>
        <w:spacing w:after="120"/>
      </w:pPr>
      <w:r>
        <w:t xml:space="preserve">Core Web Vitals and page-weight targets (e.g., Largest Contentful Paint, Interaction to Next Paint, Cumulative Layout Shift, total page weight) apply to the final integrated, content-populated, and hosted production website. Those metrics are materially affected by CMS content, media added by IBS, server and hosting configuration, third-party and marketing scripts, and the integration itself — all of which are outside Fiction Tribe’s control. Fiction Tribe therefore does not warrant Core Web Vitals or any performance metric for the final production website. Fiction Tribe warrants only that it will apply recognized front-end performance best practices to the static templates as delivered and, on request, will provide performance measurements of those static templates.</w:t>
      </w:r>
    </w:p>
    <w:p>
      <w:pPr>
        <w:pStyle w:val="Heading2"/>
      </w:pPr>
      <w:r>
        <w:t xml:space="preserve">6.3  Accessibility</w:t>
      </w:r>
    </w:p>
    <w:p>
      <w:pPr>
        <w:spacing w:after="120"/>
      </w:pPr>
      <w:r>
        <w:t xml:space="preserve">Fiction Tribe will develop the templates to target WCAG 2.1 Level AA for the templates as delivered. Final website accessibility also depends on CMS-entered content, media, alt text, and configuration managed by IBS. Fiction Tribe does not warrant WCAG conformance of the final integrated and content-populated website.</w:t>
      </w:r>
    </w:p>
    <w:p>
      <w:pPr>
        <w:pStyle w:val="Heading2"/>
      </w:pPr>
      <w:r>
        <w:t xml:space="preserve">6.4  Browser Compatibility</w:t>
      </w:r>
    </w:p>
    <w:p>
      <w:pPr>
        <w:spacing w:after="120"/>
      </w:pPr>
      <w:r>
        <w:t xml:space="preserve">Fiction Tribe’s browser-compatibility report covers the delivered templates tested as standalone files in current versions of the supported browsers. It does not cover the templates as rendered inside Joomla / Helix, which IBS is responsible for testing.</w:t>
      </w:r>
    </w:p>
    <w:p>
      <w:pPr>
        <w:pStyle w:val="Heading2"/>
      </w:pPr>
      <w:r>
        <w:t xml:space="preserve">6.5  Defect Warranty</w:t>
      </w:r>
    </w:p>
    <w:p>
      <w:pPr>
        <w:spacing w:after="120"/>
      </w:pPr>
      <w:r>
        <w:t xml:space="preserve">Fiction Tribe warrants the Deliverables against defects in Fiction Tribe’s own code for thirty (30) days following final handover and sign-off. This warranty does not extend to issues arising from integration into Joomla / Helix; modifications made by IBS or any third party; CMS content; or hosting or server configuration. Correction of in-scope defects within the warranty period is provided at no additional charge; all other work is handled as a change request under Section 9.</w:t>
      </w:r>
    </w:p>
    <w:p>
      <w:pPr>
        <w:pStyle w:val="Heading2"/>
      </w:pPr>
      <w:r>
        <w:t xml:space="preserve">6.6  No Other Warranties</w:t>
      </w:r>
    </w:p>
    <w:p>
      <w:pPr>
        <w:spacing w:after="120"/>
      </w:pPr>
      <w:r>
        <w:t xml:space="preserve">Except as expressly stated in this SOW and the Agreement, the Deliverables are provided without further warranties, express or implied.</w:t>
      </w:r>
    </w:p>
    <w:p>
      <w:pPr>
        <w:pStyle w:val="Heading1"/>
      </w:pPr>
      <w:r>
        <w:t xml:space="preserve">7. Page Templates &amp; Page Count (Fixed Scope)</w:t>
      </w:r>
    </w:p>
    <w:p>
      <w:pPr>
        <w:spacing w:after="120"/>
      </w:pPr>
      <w:r>
        <w:t xml:space="preserve">This SOW covers a fixed number of unique page templates and a fixed total page count. The total budget in Section 11 is based on this fixed scope.</w:t>
      </w:r>
    </w:p>
    <w:p>
      <w:pPr>
        <w:spacing w:after="120"/>
      </w:pPr>
      <w:r>
        <w:rPr>
          <w:b/>
          <w:bCs/>
          <w:color w:val="B00020"/>
        </w:rPr>
        <w:t xml:space="preserve">[TO CONFIRM BEFORE SIGNATURE: </w:t>
      </w:r>
      <w:r>
        <w:rPr>
          <w:b/>
          <w:bCs/>
          <w:color w:val="B00020"/>
        </w:rPr>
        <w:t xml:space="preserve">Fiction Tribe will design and code </w:t>
      </w:r>
      <w:r>
        <w:rPr>
          <w:b/>
          <w:bCs/>
          <w:color w:val="B00020"/>
        </w:rPr>
        <w:t xml:space="preserve">[X]</w:t>
      </w:r>
      <w:r>
        <w:rPr>
          <w:b/>
          <w:bCs/>
          <w:color w:val="B00020"/>
        </w:rPr>
        <w:t xml:space="preserve"> unique page templates, comprising a final delivery of </w:t>
      </w:r>
      <w:r>
        <w:rPr>
          <w:b/>
          <w:bCs/>
          <w:color w:val="B00020"/>
        </w:rPr>
        <w:t xml:space="preserve">[Y]</w:t>
      </w:r>
      <w:r>
        <w:rPr>
          <w:b/>
          <w:bCs/>
          <w:color w:val="B00020"/>
        </w:rPr>
        <w:t xml:space="preserve"> pages, as itemized in Appendix A. These figures must be fixed in writing before work begins.]</w:t>
      </w:r>
    </w:p>
    <w:p>
      <w:pPr>
        <w:spacing w:after="120"/>
      </w:pPr>
      <w:r>
        <w:t xml:space="preserve">Any unique template or page beyond the agreed count, and any new page type not listed in Appendix A, constitutes a change request under Section 9.</w:t>
      </w:r>
    </w:p>
    <w:p>
      <w:pPr>
        <w:pStyle w:val="Heading1"/>
      </w:pPr>
      <w:r>
        <w:t xml:space="preserve">8. Revisions, Milestones &amp; Timeline</w:t>
      </w:r>
    </w:p>
    <w:p>
      <w:pPr>
        <w:pStyle w:val="Heading2"/>
      </w:pPr>
      <w:r>
        <w:t xml:space="preserve">8.1  Milestones</w:t>
      </w:r>
    </w:p>
    <w:p>
      <w:pPr>
        <w:spacing w:after="120"/>
      </w:pPr>
      <w:r>
        <w:t xml:space="preserve">The project follows the sequence: design draft → IBS review → revision → final delivery, on a milestone schedule confirmed at kick-off.</w:t>
      </w:r>
    </w:p>
    <w:p>
      <w:pPr>
        <w:pStyle w:val="Heading2"/>
      </w:pPr>
      <w:r>
        <w:t xml:space="preserve">8.2  Revisions</w:t>
      </w:r>
    </w:p>
    <w:p>
      <w:pPr>
        <w:spacing w:after="120"/>
      </w:pPr>
      <w:r>
        <w:t xml:space="preserve">Each page template includes </w:t>
      </w:r>
      <w:r>
        <w:rPr>
          <w:b/>
          <w:bCs/>
        </w:rPr>
        <w:t xml:space="preserve">up to two (2) rounds of revisions</w:t>
      </w:r>
      <w:r>
        <w:t xml:space="preserve"> following IBS’s consolidated written feedback. IBS will provide consolidated feedback within </w:t>
      </w:r>
      <w:r>
        <w:rPr>
          <w:b/>
          <w:bCs/>
          <w:color w:val="B00020"/>
        </w:rPr>
        <w:t xml:space="preserve">[5]</w:t>
      </w:r>
      <w:r>
        <w:t xml:space="preserve"> </w:t>
      </w:r>
      <w:r>
        <w:rPr>
          <w:b/>
          <w:bCs/>
          <w:color w:val="B00020"/>
        </w:rPr>
        <w:t xml:space="preserve">business days</w:t>
      </w:r>
      <w:r>
        <w:t xml:space="preserve"> of each review submission. Additional revision rounds, revisions requested after a milestone has been signed off, or changes in design direction are handled as change requests under Section 9.</w:t>
      </w:r>
    </w:p>
    <w:p>
      <w:pPr>
        <w:pStyle w:val="Heading2"/>
      </w:pPr>
      <w:r>
        <w:t xml:space="preserve">8.3  Timeline Dependency</w:t>
      </w:r>
    </w:p>
    <w:p>
      <w:pPr>
        <w:spacing w:after="120"/>
      </w:pPr>
      <w:r>
        <w:t xml:space="preserve">The delivery dates in this SOW assume timely IBS feedback, approvals, and provision of any IBS-supplied content and assets. Delay in any IBS dependency extends Fiction Tribe’s delivery dates by an equivalent period, without penalty to Fiction Tribe.</w:t>
      </w:r>
    </w:p>
    <w:p>
      <w:pPr>
        <w:pStyle w:val="Heading1"/>
      </w:pPr>
      <w:r>
        <w:t xml:space="preserve">9. Change Control</w:t>
      </w:r>
    </w:p>
    <w:p>
      <w:pPr>
        <w:spacing w:after="120"/>
      </w:pPr>
      <w:r>
        <w:t xml:space="preserve">Any work outside the scope defined in this SOW — including additional templates or pages, additional revision rounds, scope or design-direction changes, or work arising from changes to the IBS technology stack — will be documented in a written change request describing the work and its cost and timeline impact. Fiction Tribe will commence such work only after IBS’s written approval of the change request.</w:t>
      </w:r>
    </w:p>
    <w:p>
      <w:pPr>
        <w:pStyle w:val="Heading1"/>
      </w:pPr>
      <w:r>
        <w:t xml:space="preserve">10. Deliverable Formats &amp; Handover Package</w:t>
      </w:r>
    </w:p>
    <w:p>
      <w:pPr>
        <w:spacing w:after="120"/>
      </w:pPr>
      <w:r>
        <w:t xml:space="preserve">All Deliverables will be supplied in standalone, development-consumable formats. IBS will not require access to Figma for measurements, assets, styling, or specifications during integration. Fiction Tribe may continue to use Figma internally.</w:t>
      </w:r>
    </w:p>
    <w:p>
      <w:pPr>
        <w:spacing w:after="120"/>
      </w:pPr>
      <w:r>
        <w:t xml:space="preserve">The handover package will be delivered via </w:t>
      </w:r>
      <w:r>
        <w:rPr>
          <w:b/>
          <w:bCs/>
          <w:color w:val="B00020"/>
        </w:rPr>
        <w:t xml:space="preserve">[TO CONFIRM: SFTP or secure cloud storage]</w:t>
      </w:r>
      <w:r>
        <w:t xml:space="preserve">, accompanied by a sign-off email confirming the contents delivered against this SOW.</w:t>
      </w:r>
    </w:p>
    <w:p>
      <w:pPr>
        <w:spacing w:after="120"/>
      </w:pPr>
      <w:r>
        <w:rPr>
          <w:b/>
          <w:bCs/>
        </w:rPr>
        <w:t xml:space="preserve">Editable design source files (e.g., Figma, PSD, AI) are </w:t>
      </w:r>
      <w:r>
        <w:rPr>
          <w:b/>
          <w:bCs/>
          <w:color w:val="B00020"/>
        </w:rPr>
        <w:t xml:space="preserve">[TO CONFIRM: included / NOT included]</w:t>
      </w:r>
      <w:r>
        <w:t xml:space="preserve">. </w:t>
      </w:r>
      <w:r>
        <w:rPr>
          <w:i/>
          <w:iCs/>
        </w:rPr>
        <w:t xml:space="preserve">Recommended default: not included. If IBS requires editable source files, they can be added by change request, with any applicable licensing or fee terms agreed at that time.</w:t>
      </w:r>
    </w:p>
    <w:p>
      <w:pPr>
        <w:pStyle w:val="Heading1"/>
      </w:pPr>
      <w:r>
        <w:t xml:space="preserve">11. Pricing</w:t>
      </w:r>
    </w:p>
    <w:p>
      <w:pPr>
        <w:spacing w:after="120"/>
      </w:pPr>
      <w:r>
        <w:rPr>
          <w:b/>
          <w:bCs/>
        </w:rPr>
        <w:t xml:space="preserve">Total Budget: $32,500.</w:t>
      </w:r>
    </w:p>
    <w:p>
      <w:pPr>
        <w:spacing w:after="120"/>
      </w:pPr>
      <w:r>
        <w:t xml:space="preserve">This figure is based on the fixed scope defined in Section 7. Work outside that scope is subject to Section 9 (Change Control).</w:t>
      </w:r>
    </w:p>
    <w:p>
      <w:pPr>
        <w:pStyle w:val="Heading2"/>
      </w:pPr>
      <w:r>
        <w:t xml:space="preserve">Payment Terms</w:t>
      </w:r>
    </w:p>
    <w:p>
      <w:pPr>
        <w:spacing w:after="120"/>
      </w:pPr>
      <w:r>
        <w:t xml:space="preserve">Following SOW approval, Fiction Tribe will invoice IBS Software according to the following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40"/>
        <w:gridCol w:w="3120"/>
      </w:tblGrid>
      <w:tr>
        <w:tc>
          <w:tcPr>
            <w:tcW w:type="dxa" w:w="624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Milestone</w:t>
            </w:r>
          </w:p>
        </w:tc>
        <w:tc>
          <w:tcPr>
            <w:tcW w:type="dxa" w:w="312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Amount</w:t>
            </w:r>
          </w:p>
        </w:tc>
      </w:tr>
      <w:tr>
        <w:tc>
          <w:tcPr>
            <w:tcW w:type="dxa" w:w="624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50% upon SOW approval</w:t>
            </w:r>
          </w:p>
        </w:tc>
        <w:tc>
          <w:tcPr>
            <w:tcW w:type="dxa" w:w="312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$16,250</w:t>
            </w:r>
          </w:p>
        </w:tc>
      </w:tr>
      <w:tr>
        <w:tc>
          <w:tcPr>
            <w:tcW w:type="dxa" w:w="624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50% upon Project Completion</w:t>
            </w:r>
          </w:p>
        </w:tc>
        <w:tc>
          <w:tcPr>
            <w:tcW w:type="dxa" w:w="312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$16,250</w:t>
            </w:r>
          </w:p>
        </w:tc>
      </w:tr>
    </w:tbl>
    <w:p>
      <w:pPr>
        <w:spacing w:after="120"/>
      </w:pPr>
    </w:p>
    <w:p>
      <w:pPr>
        <w:spacing w:after="120"/>
      </w:pPr>
      <w:r>
        <w:t xml:space="preserve">All payment terms are Net 45 days.</w:t>
      </w:r>
    </w:p>
    <w:p>
      <w:pPr>
        <w:pStyle w:val="Heading1"/>
      </w:pPr>
      <w:r>
        <w:t xml:space="preserve">12. Conflict Resolution &amp; Cancellation</w:t>
      </w:r>
    </w:p>
    <w:p>
      <w:pPr>
        <w:spacing w:after="120"/>
      </w:pPr>
      <w:r>
        <w:t xml:space="preserve">If IBS Software cancels the project at any point, Fiction Tribe will invoice IBS for all work completed up to the date of cancellation, and IBS will pay such invoice on Net 45 terms.</w:t>
      </w:r>
    </w:p>
    <w:p>
      <w:pPr>
        <w:pStyle w:val="Heading1"/>
      </w:pPr>
      <w:r>
        <w:t xml:space="preserve">13. Other Terms</w:t>
      </w:r>
    </w:p>
    <w:p>
      <w:pPr>
        <w:pStyle w:val="ListParagraph"/>
        <w:numPr>
          <w:ilvl w:val="0"/>
          <w:numId w:val="2"/>
        </w:numPr>
        <w:spacing w:after="60"/>
      </w:pPr>
      <w:r>
        <w:t xml:space="preserve">Location of the Service: 350 SE Mill Street, Portland, OR 97214.</w:t>
      </w:r>
    </w:p>
    <w:p>
      <w:pPr>
        <w:pStyle w:val="ListParagraph"/>
        <w:numPr>
          <w:ilvl w:val="0"/>
          <w:numId w:val="2"/>
        </w:numPr>
        <w:spacing w:after="60"/>
      </w:pPr>
      <w:r>
        <w:t xml:space="preserve">Service Provider Obligation: Not Applicable.</w:t>
      </w:r>
    </w:p>
    <w:p>
      <w:pPr>
        <w:pStyle w:val="ListParagraph"/>
        <w:numPr>
          <w:ilvl w:val="0"/>
          <w:numId w:val="2"/>
        </w:numPr>
        <w:spacing w:after="60"/>
      </w:pPr>
      <w:r>
        <w:t xml:space="preserve">Delay Penalty: Not Applicable.</w:t>
      </w:r>
    </w:p>
    <w:p>
      <w:pPr>
        <w:pStyle w:val="ListParagraph"/>
        <w:numPr>
          <w:ilvl w:val="0"/>
          <w:numId w:val="2"/>
        </w:numPr>
        <w:spacing w:after="60"/>
      </w:pPr>
      <w:r>
        <w:t xml:space="preserve">Additional Warranty: Not Applicable beyond Section 6.</w:t>
      </w:r>
    </w:p>
    <w:p>
      <w:pPr>
        <w:pStyle w:val="ListParagraph"/>
        <w:numPr>
          <w:ilvl w:val="0"/>
          <w:numId w:val="2"/>
        </w:numPr>
        <w:spacing w:after="60"/>
      </w:pPr>
      <w:r>
        <w:t xml:space="preserve">Fees: $32,500.</w:t>
      </w:r>
    </w:p>
    <w:p>
      <w:pPr>
        <w:pStyle w:val="ListParagraph"/>
        <w:numPr>
          <w:ilvl w:val="0"/>
          <w:numId w:val="2"/>
        </w:numPr>
        <w:spacing w:after="60"/>
      </w:pPr>
      <w:r>
        <w:t xml:space="preserve">Other Terms: N/A.</w:t>
      </w:r>
    </w:p>
    <w:p>
      <w:pPr>
        <w:spacing w:after="240" w:before="3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80"/>
              <w:left w:type="dxa" w:w="0"/>
              <w:bottom w:type="dxa" w:w="80"/>
              <w:right w:type="dxa" w:w="240"/>
            </w:tcMar>
          </w:tcPr>
          <w:p>
            <w:pPr>
              <w:spacing w:after="360"/>
            </w:pPr>
            <w:r>
              <w:rPr>
                <w:b/>
                <w:bCs/>
              </w:rPr>
              <w:t xml:space="preserve">Fiction Tribe, Inc.</w:t>
            </w:r>
          </w:p>
          <w:p>
            <w:pPr>
              <w:spacing w:after="240"/>
            </w:pPr>
            <w:r>
              <w:t xml:space="preserve">Signature: ___________________________</w:t>
            </w:r>
          </w:p>
          <w:p>
            <w:pPr>
              <w:spacing w:after="120"/>
            </w:pPr>
            <w:r>
              <w:t xml:space="preserve">Name: Michael Caplan</w:t>
            </w:r>
          </w:p>
          <w:p>
            <w:pPr>
              <w:spacing w:after="120"/>
            </w:pPr>
            <w:r>
              <w:t xml:space="preserve">Title: Co-Founder / COO</w:t>
            </w:r>
          </w:p>
          <w:p>
            <w:pPr>
              <w:spacing w:after="120"/>
            </w:pPr>
            <w:r>
              <w:t xml:space="preserve">Date: May 20, 2026</w:t>
            </w:r>
          </w:p>
        </w:tc>
        <w:tc>
          <w:tcPr>
            <w:tcW w:type="dxa" w:w="4680"/>
            <w:tcBorders>
              <w:top w:val="none"/>
              <w:left w:val="none"/>
              <w:bottom w:val="none"/>
              <w:right w:val="none"/>
            </w:tcBorders>
            <w:tcMar>
              <w:top w:type="dxa" w:w="80"/>
              <w:left w:type="dxa" w:w="240"/>
              <w:bottom w:type="dxa" w:w="80"/>
              <w:right w:type="dxa" w:w="0"/>
            </w:tcMar>
          </w:tcPr>
          <w:p>
            <w:pPr>
              <w:spacing w:after="360"/>
            </w:pPr>
            <w:r>
              <w:rPr>
                <w:b/>
                <w:bCs/>
              </w:rPr>
              <w:t xml:space="preserve">IBS Software Americas, Inc.</w:t>
            </w:r>
          </w:p>
          <w:p>
            <w:pPr>
              <w:spacing w:after="240"/>
            </w:pPr>
            <w:r>
              <w:t xml:space="preserve">Signature: ___________________________</w:t>
            </w:r>
          </w:p>
          <w:p>
            <w:pPr>
              <w:spacing w:after="120"/>
            </w:pPr>
            <w:r>
              <w:t xml:space="preserve">Name: Jitendra Sindwani</w:t>
            </w:r>
          </w:p>
          <w:p>
            <w:pPr>
              <w:spacing w:after="120"/>
            </w:pPr>
            <w:r>
              <w:t xml:space="preserve">Title: President, Global Sales &amp; Marketing</w:t>
            </w:r>
          </w:p>
          <w:p>
            <w:pPr>
              <w:spacing w:after="120"/>
            </w:pPr>
            <w:r>
              <w:t xml:space="preserve">Date: May 20, 2026</w:t>
            </w:r>
          </w:p>
        </w:tc>
      </w:tr>
    </w:tbl>
    <w:p>
      <w:pPr>
        <w:pageBreakBefore/>
      </w:pPr>
    </w:p>
    <w:p>
      <w:pPr>
        <w:pStyle w:val="Heading1"/>
      </w:pPr>
      <w:r>
        <w:t xml:space="preserve">Appendix A — Page Templates &amp; Pages</w:t>
      </w:r>
    </w:p>
    <w:p>
      <w:pPr>
        <w:spacing w:after="120"/>
      </w:pPr>
      <w:r>
        <w:rPr>
          <w:b/>
          <w:bCs/>
          <w:color w:val="B00020"/>
        </w:rPr>
        <w:t xml:space="preserve">[TO COMPLETE AT KICK-OFF: </w:t>
      </w:r>
      <w:r>
        <w:rPr>
          <w:b/>
          <w:bCs/>
          <w:color w:val="B00020"/>
        </w:rPr>
        <w:t xml:space="preserve">List every unique page template and the pages that map to it. The counts here drive the fixed scope in Section 7 and the budget in Section 11.]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3500"/>
        <w:gridCol w:w="3060"/>
        <w:gridCol w:w="1700"/>
      </w:tblGrid>
      <w:tr>
        <w:tc>
          <w:tcPr>
            <w:tcW w:type="dxa" w:w="110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w:t>
            </w:r>
          </w:p>
        </w:tc>
        <w:tc>
          <w:tcPr>
            <w:tcW w:type="dxa" w:w="350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Unique Template</w:t>
            </w:r>
          </w:p>
        </w:tc>
        <w:tc>
          <w:tcPr>
            <w:tcW w:type="dxa" w:w="306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Pages Using This Template</w:t>
            </w:r>
          </w:p>
        </w:tc>
        <w:tc>
          <w:tcPr>
            <w:tcW w:type="dxa" w:w="170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Page Count</w:t>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1</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2</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3</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4</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5</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6</w:t>
            </w:r>
          </w:p>
        </w:tc>
        <w:tc>
          <w:tcPr>
            <w:tcW w:type="dxa" w:w="35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06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r>
        <w:tc>
          <w:tcPr>
            <w:tcW w:type="dxa" w:w="11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c>
          <w:tcPr>
            <w:tcW w:type="dxa" w:w="350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TOTAL UNIQUE TEMPLATES:</w:t>
            </w:r>
          </w:p>
        </w:tc>
        <w:tc>
          <w:tcPr>
            <w:tcW w:type="dxa" w:w="3060"/>
            <w:tcBorders>
              <w:top w:val="single" w:color="BFBFBF" w:sz="1"/>
              <w:left w:val="single" w:color="BFBFBF" w:sz="1"/>
              <w:bottom w:val="single" w:color="BFBFBF" w:sz="1"/>
              <w:right w:val="single" w:color="BFBFBF" w:sz="1"/>
            </w:tcBorders>
            <w:shd w:fill="1F3864" w:val="clear"/>
            <w:tcMar>
              <w:top w:type="dxa" w:w="80"/>
              <w:left w:type="dxa" w:w="120"/>
              <w:bottom w:type="dxa" w:w="80"/>
              <w:right w:type="dxa" w:w="120"/>
            </w:tcMar>
          </w:tcPr>
          <w:p>
            <w:r>
              <w:rPr>
                <w:b/>
                <w:bCs/>
                <w:color w:val="FFFFFF"/>
              </w:rPr>
              <w:t xml:space="preserve">TOTAL PAGES:</w:t>
            </w:r>
          </w:p>
        </w:tc>
        <w:tc>
          <w:tcPr>
            <w:tcW w:type="dxa" w:w="1700"/>
            <w:tcBorders>
              <w:top w:val="single" w:color="BFBFBF" w:sz="1"/>
              <w:left w:val="single" w:color="BFBFBF" w:sz="1"/>
              <w:bottom w:val="single" w:color="BFBFBF" w:sz="1"/>
              <w:right w:val="single" w:color="BFBFBF" w:sz="1"/>
            </w:tcBorders>
            <w:tcMar>
              <w:top w:type="dxa" w:w="80"/>
              <w:left w:type="dxa" w:w="120"/>
              <w:bottom w:type="dxa" w:w="80"/>
              <w:right w:type="dxa" w:w="120"/>
            </w:tcMar>
          </w:tcPr>
          <w:p>
            <w:r>
              <w:rPr>
                <w:b w:val="false"/>
                <w:bCs w:val="false"/>
                <w:color w:val="000000"/>
              </w:rPr>
              <w:t xml:space="preserve"/>
            </w:r>
          </w:p>
        </w:tc>
      </w:tr>
    </w:tbl>
    <w:p>
      <w:pPr>
        <w:spacing w:before="360"/>
      </w:pPr>
    </w:p>
    <w:p>
      <w:pPr>
        <w:spacing w:after="120"/>
      </w:pPr>
      <w:r>
        <w:rPr>
          <w:i/>
          <w:iCs/>
          <w:color w:val="777777"/>
          <w:sz w:val="18"/>
          <w:szCs w:val="18"/>
        </w:rPr>
        <w:t xml:space="preserve">Note: This document is a drafting aid prepared to reduce scope and warranty risk. It is not legal advice. Items shown in red require a business decision and should be finalized before signature, and the SOW should be reviewed by Fiction Tribe’s legal counsel.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color w:val="1F3864"/>
      <w:sz w:val="26"/>
      <w:szCs w:val="26"/>
    </w:rPr>
  </w:style>
  <w:style w:type="paragraph" w:styleId="Heading2">
    <w:name w:val="Heading 2"/>
    <w:basedOn w:val="Normal"/>
    <w:next w:val="Normal"/>
    <w:qFormat/>
    <w:pPr>
      <w:spacing w:after="100" w:before="160"/>
      <w:outlineLvl w:val="1"/>
    </w:pPr>
    <w:rPr>
      <w:rFonts w:ascii="Arial" w:cs="Arial" w:eastAsia="Arial" w:hAnsi="Arial"/>
      <w:b/>
      <w:bCs/>
      <w:color w:val="2F5496"/>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2026-05-20T16:08:01.961Z</dcterms:created>
  <dcterms:modified xsi:type="dcterms:W3CDTF">2026-05-20T16:08:01.961Z</dcterms:modified>
</cp:coreProperties>
</file>

<file path=docProps/custom.xml><?xml version="1.0" encoding="utf-8"?>
<Properties xmlns="http://schemas.openxmlformats.org/officeDocument/2006/custom-properties" xmlns:vt="http://schemas.openxmlformats.org/officeDocument/2006/docPropsVTypes"/>
</file>